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embeddings/_____Microsoft_Office_Excel1.xlsx" ContentType="application/vnd.openxmlformats-officedocument.spreadsheetml.sheet"/>
  <Override PartName="/word/embeddings/_____Microsoft_Office_Excel2.xlsx" ContentType="application/vnd.openxmlformats-officedocument.spreadsheetml.shee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harts/chart2.xml" ContentType="application/vnd.openxmlformats-officedocument.drawingml.chart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МКОУ «ЛИНЁВСКАЯ  ШКОЛА-ИНТЕРНАТ»</w:t>
      </w:r>
    </w:p>
    <w:p>
      <w:pPr>
        <w:pStyle w:val="Normal"/>
        <w:rPr>
          <w:rFonts w:ascii="Monotype Corsiva" w:hAnsi="Monotype Corsiva"/>
          <w:b/>
          <w:b/>
          <w:i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</w:r>
    </w:p>
    <w:p>
      <w:pPr>
        <w:pStyle w:val="Normal"/>
        <w:rPr>
          <w:rFonts w:ascii="Monotype Corsiva" w:hAnsi="Monotype Corsiva"/>
          <w:b/>
          <w:b/>
          <w:i/>
          <w:i/>
          <w:shadow/>
          <w:sz w:val="32"/>
          <w:szCs w:val="32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             </w:t>
      </w:r>
    </w:p>
    <w:p>
      <w:pPr>
        <w:pStyle w:val="Normal"/>
        <w:rPr>
          <w:rFonts w:ascii="Monotype Corsiva" w:hAnsi="Monotype Corsiva"/>
          <w:b/>
          <w:b/>
          <w:i/>
          <w:i/>
          <w:shadow/>
          <w:sz w:val="96"/>
          <w:szCs w:val="96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>
      <w:pPr>
        <w:pStyle w:val="Normal"/>
        <w:jc w:val="center"/>
        <w:rPr>
          <w:rFonts w:ascii="Monotype Corsiva" w:hAnsi="Monotype Corsiva"/>
          <w:i/>
          <w:i/>
          <w:shadow/>
          <w:sz w:val="72"/>
          <w:szCs w:val="72"/>
        </w:rPr>
      </w:pPr>
      <w:r>
        <w:rPr>
          <w:rFonts w:ascii="Monotype Corsiva" w:hAnsi="Monotype Corsiva"/>
          <w:i/>
          <w:shadow/>
          <w:sz w:val="72"/>
          <w:szCs w:val="72"/>
        </w:rPr>
        <w:t>Анализ работы</w:t>
      </w:r>
    </w:p>
    <w:p>
      <w:pPr>
        <w:pStyle w:val="Normal"/>
        <w:jc w:val="center"/>
        <w:rPr>
          <w:rFonts w:ascii="Monotype Corsiva" w:hAnsi="Monotype Corsiva"/>
          <w:b/>
          <w:b/>
          <w:i/>
          <w:i/>
          <w:shadow/>
          <w:sz w:val="48"/>
          <w:szCs w:val="48"/>
        </w:rPr>
      </w:pPr>
      <w:r>
        <w:rPr>
          <w:rFonts w:ascii="Monotype Corsiva" w:hAnsi="Monotype Corsiva"/>
          <w:b/>
          <w:i/>
          <w:shadow/>
          <w:sz w:val="48"/>
          <w:szCs w:val="48"/>
        </w:rPr>
      </w:r>
    </w:p>
    <w:p>
      <w:pPr>
        <w:pStyle w:val="Normal"/>
        <w:rPr>
          <w:rFonts w:ascii="Monotype Corsiva" w:hAnsi="Monotype Corsiva"/>
          <w:b/>
          <w:b/>
          <w:i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 xml:space="preserve"> </w:t>
      </w: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6633" stroked="t" style="position:absolute;margin-left:0pt;margin-top:-68.9pt;width:344.3pt;height:68.8pt;mso-position-vertical:top" type="shapetype_136">
            <v:path textpathok="t"/>
            <v:textpath on="t" fitshape="t" string="БИБЛИОТЕКИ" style="font-family:&quot;Times New Roman&quot;;font-size:54pt"/>
            <w10:wrap type="none"/>
            <v:fill o:detectmouseclick="t" type="solid" color2="#ff99cc"/>
            <v:stroke color="green" joinstyle="round" endcap="flat"/>
          </v:shape>
        </w:pict>
      </w: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>
      <w:pPr>
        <w:pStyle w:val="Normal"/>
        <w:jc w:val="center"/>
        <w:rPr/>
      </w:pPr>
      <w:r>
        <w:rPr>
          <w:rFonts w:ascii="Monotype Corsiva" w:hAnsi="Monotype Corsiva"/>
          <w:i/>
          <w:shadow/>
          <w:sz w:val="56"/>
          <w:szCs w:val="56"/>
        </w:rPr>
        <w:t>за 20</w:t>
      </w:r>
      <w:r>
        <w:rPr>
          <w:rFonts w:ascii="Monotype Corsiva" w:hAnsi="Monotype Corsiva"/>
          <w:i/>
          <w:shadow/>
          <w:sz w:val="56"/>
          <w:szCs w:val="56"/>
          <w:lang w:val="ru-RU"/>
        </w:rPr>
        <w:t>21</w:t>
      </w:r>
      <w:r>
        <w:rPr>
          <w:rFonts w:ascii="Monotype Corsiva" w:hAnsi="Monotype Corsiva"/>
          <w:i/>
          <w:shadow/>
          <w:sz w:val="56"/>
          <w:szCs w:val="56"/>
        </w:rPr>
        <w:t xml:space="preserve"> – 202</w:t>
      </w:r>
      <w:r>
        <w:rPr>
          <w:rFonts w:ascii="Monotype Corsiva" w:hAnsi="Monotype Corsiva"/>
          <w:i/>
          <w:shadow/>
          <w:sz w:val="56"/>
          <w:szCs w:val="56"/>
          <w:lang w:val="ru-RU"/>
        </w:rPr>
        <w:t>2</w:t>
      </w:r>
      <w:r>
        <w:rPr>
          <w:rFonts w:ascii="Monotype Corsiva" w:hAnsi="Monotype Corsiva"/>
          <w:i/>
          <w:shadow/>
          <w:sz w:val="56"/>
          <w:szCs w:val="56"/>
        </w:rPr>
        <w:t xml:space="preserve"> учебный год</w:t>
      </w:r>
    </w:p>
    <w:p>
      <w:pPr>
        <w:pStyle w:val="Normal"/>
        <w:rPr>
          <w:rFonts w:ascii="Monotype Corsiva" w:hAnsi="Monotype Corsiva"/>
          <w:i/>
          <w:i/>
          <w:shadow/>
          <w:sz w:val="32"/>
          <w:szCs w:val="32"/>
        </w:rPr>
      </w:pPr>
      <w:r>
        <w:rPr>
          <w:rFonts w:ascii="Monotype Corsiva" w:hAnsi="Monotype Corsiva"/>
          <w:i/>
          <w:shadow/>
          <w:sz w:val="32"/>
          <w:szCs w:val="32"/>
        </w:rPr>
      </w:r>
    </w:p>
    <w:p>
      <w:pPr>
        <w:pStyle w:val="Normal"/>
        <w:rPr>
          <w:rFonts w:ascii="Monotype Corsiva" w:hAnsi="Monotype Corsiva"/>
          <w:i/>
          <w:i/>
          <w:shadow/>
          <w:sz w:val="32"/>
          <w:szCs w:val="32"/>
        </w:rPr>
      </w:pPr>
      <w:r>
        <w:rPr>
          <w:rFonts w:ascii="Monotype Corsiva" w:hAnsi="Monotype Corsiva"/>
          <w:i/>
          <w:shadow/>
          <w:sz w:val="32"/>
          <w:szCs w:val="32"/>
        </w:rPr>
      </w:r>
    </w:p>
    <w:p>
      <w:pPr>
        <w:pStyle w:val="Normal"/>
        <w:rPr>
          <w:rFonts w:ascii="Monotype Corsiva" w:hAnsi="Monotype Corsiva"/>
          <w:i/>
          <w:i/>
          <w:shadow/>
          <w:sz w:val="32"/>
          <w:szCs w:val="32"/>
        </w:rPr>
      </w:pPr>
      <w:r>
        <w:rPr>
          <w:rFonts w:ascii="Monotype Corsiva" w:hAnsi="Monotype Corsiva"/>
          <w:i/>
          <w:shadow/>
          <w:sz w:val="32"/>
          <w:szCs w:val="32"/>
        </w:rPr>
      </w:r>
    </w:p>
    <w:p>
      <w:pPr>
        <w:pStyle w:val="Normal"/>
        <w:rPr>
          <w:rFonts w:ascii="Monotype Corsiva" w:hAnsi="Monotype Corsiva"/>
          <w:i/>
          <w:i/>
          <w:shadow/>
          <w:sz w:val="32"/>
          <w:szCs w:val="32"/>
        </w:rPr>
      </w:pPr>
      <w:r>
        <w:rPr>
          <w:rFonts w:ascii="Monotype Corsiva" w:hAnsi="Monotype Corsiva"/>
          <w:i/>
          <w:shadow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деятельности библиотеки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«Линёвская  школа-интернат в 2020-2021 учебном году: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усвоению учебных предметов, научить читать, понимать и любить книгу;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природе, чувства любви и гордости за свою Родину;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критериев: трудолюбия, взаимоуважения к себе и одноклассникам;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эмоциональных качеств детей: независимости, инициативы, ответственности;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методического педагогического мастерства работников школы-интерната.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 работа в библиотеке осуществляется со следующими группами читателей: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младших классов (1-4кл.) -33чел.;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старших классов  (5-9кл.) –58чел.;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- 30чел.;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 персонал – 5чел. 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  <w:drawing>
          <wp:inline distT="0" distB="0" distL="0" distR="0">
            <wp:extent cx="6000750" cy="28765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обслуживалось в библиотеке 126 читателя.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показатели: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читателей – 126 чел.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– 620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книговыдач – 1428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– 4.9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читаемость – 11,3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– 0,6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  <w:drawing>
          <wp:inline distT="0" distB="0" distL="0" distR="0">
            <wp:extent cx="5953760" cy="249491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Контрольные показатели в сравнении с прошлым учебным годом остались на прежнем уровне. Это объясняется тем, что библиотека работала с читателями в неполном режиме в связи с распространением новой коронавирусной инфекции(COVID), фонд художественной литературы не пополняется уже много лет в виду отсутствия финансирования, фонд библиотеки комплектуется последние годы  только учебниками и учебными пособиями. Не оформлена подписка на периодические издания на 2021 год ввиду отсутствия финансирования.  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с книжным фондом библиотеки.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Оформлена  заявка на приобретение учебников по федеральному заказу на 2021-22 учебный год.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ежемесячно совместно с библиотечным активом рейды по классам по поводу сохранности учебников с подведением итогов, проводились так же беседы с задолжниками.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акции «Помоги книге»  детьми было отремонтировано  25 книг и брошюр.</w:t>
      </w:r>
    </w:p>
    <w:p>
      <w:pPr>
        <w:pStyle w:val="NoSpacing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Работа с читателями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применялись индивидуальные и массовые формы работы                                             читателями.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Индивидуальная работа </w:t>
      </w:r>
      <w:r>
        <w:rPr>
          <w:rFonts w:ascii="Times New Roman" w:hAnsi="Times New Roman"/>
          <w:sz w:val="28"/>
          <w:szCs w:val="28"/>
        </w:rPr>
        <w:t>имеет большое значение в деятельности библиотеки школы. Она осуществлялась путём проведения рекомендательных бесед при выдачи книг и бесед со школьниками о прочитанной книге. Проводятся беседы о  книгах, журналах, имеющихся в библиотеке. Стараюсь создать атмосферу заинтересованности детей чтением с учётом сложившихся ранее интересов и особенностей развития детей. Советуя прочесть книгу или журнал, обращаю их внимание на иллюстрации, помещённые в книге (журнале), зачитываю интересный отрывок из произведения (статьи). Особой популярностью пользовались у старшеклассников журналы «Джульетта», «Мне 15», «Девчонки и мальчишки», «Мир техники» - у мальчиков  4-9классов. У ребят младших классов – «Веселые картинки», «Непоседа», «Простоквашино», «Лунтик».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 коллективом.</w:t>
      </w:r>
    </w:p>
    <w:p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 были ознакомлены со списком учебников по федеральному заказу на 2021-2022 учебный год. Так же делались подборки литературы для тематических классных часов и самообразования, для подготовки общешкольных  мероприятий, педагогических советов, заседаний МО, выполнялись справки.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При выполнении данной работы  испытываю трудности, т.к. библиотека не обладает достаточным количеством справочной литературы, литературы отдела 74.3 – Специальные школы. Дефектология. Специальная педагогика ввиду отсутствия финансирования,  а документы, выставленные в интернете, не всегда доступны и соответствуют истине.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Работа по пропаганде библиотечно-библиографических  знаний.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Проводилось обучение читателей справочно-библиографической и информационной грамотности посредством индивидуальных бесед и библиотечных  уроков: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Правила поведения в библиотеке» (1-9кл.),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«Правила обращения с книгой»(1-5кл),                 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«Путешествие по книге» (2-3кл.),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«Книжки просят помощи» (2,3,4кл.)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Выполнено70 библиографических справок. Справки выдавались в основном педагогам при подготовке школьных мероприятий, классных часов, педагогических советов, заседаний МО. Для ответов на запросы читателей и для организации книжных выставок и тематических полок использовались фонд библиотеки школы  и интернет.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Работа библиотеки в помощь учебно-воспитательному процессу.</w:t>
      </w:r>
      <w:r>
        <w:rPr/>
        <w:t xml:space="preserve">    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библиотека работала по разным направлениям.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предметных недель в школе в библиотеке оформлялась  тематическая полка «О чём не успел рассказать учебник»,  подбирался материал к викторинам, сообщениям и др.                                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NoSpacing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 этой тематике были оформлены выставки: «Детство, опалённое войной», «Легендарный подвиг Маресьева», </w:t>
      </w:r>
      <w:r>
        <w:rPr>
          <w:rFonts w:ascii="Times New Roman" w:hAnsi="Times New Roman"/>
          <w:color w:val="000000" w:themeColor="text1"/>
          <w:sz w:val="28"/>
          <w:szCs w:val="28"/>
        </w:rPr>
        <w:t>«На страже Родины»,</w:t>
      </w:r>
      <w:r>
        <w:rPr>
          <w:rFonts w:ascii="Times New Roman" w:hAnsi="Times New Roman"/>
          <w:sz w:val="28"/>
          <w:szCs w:val="28"/>
        </w:rPr>
        <w:t xml:space="preserve"> «Мой край родной Искитимский»,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тематическая полка «Дни воинской славы России», «9.12 – День героев Отечества», «900 дней мужества», «Сталинград – город мужества», «Герой Отечества»(к 270-летиюФ.Ф.Ушакова, великого русского флотоводца, адмирала), «Рыцарь русского слова»( к 120-летию С.И.Ожегова), «Люблю Отчизну я»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 час «Русской речи государь» (6-9кл.) + презентация,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мужества «900 дней подвига»(8,9 кл.), «Память не угаснет. Слава не померкнет»</w:t>
      </w:r>
    </w:p>
    <w:p>
      <w:pPr>
        <w:pStyle w:val="NoSpacing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Нравственное воспитание.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 «Родной язык-душа народа»(к Международному дню родного языка-21 февраля), «14 декабря - День Наума Грамотника», «Весь мир начинается с мамы».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 час «Как зарождалось слово»(2-4кл)</w:t>
      </w:r>
    </w:p>
    <w:p>
      <w:pPr>
        <w:pStyle w:val="NoSpacing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воспитание.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Выставка: «В гостях у времени года»: «Осень золотая», «Зимушка - зима», « Весна!!!», «Скоро Новый год!», «18 января - День Снеговика», «Этот удивительный мир», «18.11- День рождения Деда Мороза», «Поэзия-душа святая»(ко дню поэзии) Информационные часы: «Здравствуй, Снеговик», «Новый год у ворот», «История праздника 8 Марта» + презентации(1-5кл.)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Экологическое воспитание.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 «Не в гости нас ждет природа», «14.01- День заповедников и национальных парков»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часы: «Четвероногим за верность и преданность»(1-4кл.), «Заповедные края Новосибирской области» + презентации.(5-9кл), «День земли»(5-9кл.)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Профориентация.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Выбор профессии сложное дело особенно для детей с нарушениями в развитии. Помочь юношам и девушкам наша задача. С этой целью в библиотеке проводились индивидуальные беседы с учащимися 9класса, предлагались  книги о различных профессиях и буклеты, где описывается профессия, которую можно получить, учась в учреждениях Новосибирской области и Искитимского района, и даются сведения об учебном учреждении. </w:t>
      </w:r>
    </w:p>
    <w:p>
      <w:pPr>
        <w:pStyle w:val="NoSpacing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Работа с художественной литературой. Праздники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течение учебного года оформлялись выставки: «Здравствуй, школа!»,  «18.09-Всемирный день грамотности», «Есть имена и даты, что живут в веках» (к юбилейным датам писателей, поэтов и др.): «Он поэт земли родной» - к 125-летию С.Есенина, «Я вам поведал неземное»-к 140-летию А.Блока, «На страже Родины», « С праздником 8  Марта!», «10.02- День памяти А.С. Пушкина», «Н.И.Дубов детям и о детях»-к 110-летию Н.И.Дубова, «Гениальный лирик»-к 200–летию А.А Фета, «Любимый друг детства»- к 115-летию А.Л.Барто, «Праздник со слезами на глазах»-ко Дню Победы.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мероприятия: информационный час  «Добрый талант Куприна», «В гостях у героев Н.Н.Носова» (5,6кл), литературный час «Певец России»(к 125-летию С.Есенина. 7-9кл), «Поэт чародей»(к 200-летию А.А.Фета), «День славянской письменности и культуры» (5-9кл.),час памяти «Светоч русской литературы» (ко Дню памяти А.С.Пушкина5-9кл.)+ презентации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Недели детской книги проведены следующие мероприятия: 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 «Любимый друг детства»- к 115-летию А.Л.Барто,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час «В стране веселого детства», викторина «Знаешь ли ты стихи А.Барто?», конкурс чтецов «Поэзия детства».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Принимала участие в неделе проектов - исследовательский проект «Кто ты, Баба-Яга?» (Иванова Аня 8кл)</w:t>
      </w:r>
    </w:p>
    <w:p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квалификации.</w:t>
      </w:r>
    </w:p>
    <w:p>
      <w:pPr>
        <w:pStyle w:val="NoSpacing"/>
        <w:jc w:val="center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Повышаю квалификацию путём освоения информации из профессиональных изданий «Библиотека в школе», «Школьная библиотека» и др. Использую в своей работе опыт библиотекарей школ района. Посещаю семинары библиотекарей, организованные на базе РУО.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 поставленные на 2020-21 учебный год, выполнены  не в полном объеме. Это объясняется тем, что библиотека работала с читателями в неполном режиме в связи с распространением новой коронавирусной инфекции(COVID). Для более успешной работы библиотеки необходимо  приобрести экран и мультимедийную аппаратуру. </w:t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>
          <w:rFonts w:ascii="Times New Roman" w:hAnsi="Times New Roman"/>
          <w:sz w:val="28"/>
          <w:szCs w:val="28"/>
        </w:rPr>
        <w:t>Педагог-библиотекарь                       В.Е.Симакова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onotype Corsiv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f2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817f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e817f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817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c1a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Колличественный состав групп читателей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1625"/>
          <c:y val="0.237"/>
          <c:w val="0.336875"/>
          <c:h val="0.704888888888889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Колличественный состав групп читателей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учащиеся младших классов (1-4кл.) - 20,50%</c:v>
                </c:pt>
                <c:pt idx="1">
                  <c:v> учащиеся старших классов (5-9кл.) -45,10%</c:v>
                </c:pt>
                <c:pt idx="2">
                  <c:v> педагогические работники - 30,30%</c:v>
                </c:pt>
                <c:pt idx="3">
                  <c:v> обслуживающий персонал - 4,10%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0.205</c:v>
                </c:pt>
                <c:pt idx="1">
                  <c:v>0.451</c:v>
                </c:pt>
                <c:pt idx="2">
                  <c:v>0.303</c:v>
                </c:pt>
                <c:pt idx="3">
                  <c:v>0.041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ayout>
        <c:manualLayout>
          <c:xMode val="edge"/>
          <c:yMode val="edge"/>
          <c:x val="0.53575"/>
          <c:y val="0.339555555555556"/>
          <c:w val="0.427839239952497"/>
          <c:h val="0.539837759751083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zero"/>
  </c:chart>
  <c:spPr>
    <a:solidFill>
      <a:srgbClr val="ffffff"/>
    </a:solidFill>
    <a:ln w="25560">
      <a:solidFill>
        <a:srgbClr val="c0504d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0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1410625"/>
          <c:y val="0.0556666666666667"/>
          <c:w val="0.6325"/>
          <c:h val="0.547777777777778"/>
        </c:manualLayout>
      </c:layout>
      <c:line3D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 2018-19уч.г.</c:v>
                </c:pt>
              </c:strCache>
            </c:strRef>
          </c:tx>
          <c:spPr>
            <a:gradFill>
              <a:gsLst>
                <a:gs pos="0">
                  <a:srgbClr val="2e5f99"/>
                </a:gs>
                <a:gs pos="100000">
                  <a:srgbClr val="3c7ac7"/>
                </a:gs>
              </a:gsLst>
              <a:lin ang="16200000"/>
            </a:gradFill>
            <a:ln>
              <a:noFill/>
            </a:ln>
          </c:spPr>
          <c:marker>
            <c:symbol val="none"/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122</c:v>
                </c:pt>
                <c:pt idx="1">
                  <c:v>983</c:v>
                </c:pt>
                <c:pt idx="2">
                  <c:v>1354</c:v>
                </c:pt>
                <c:pt idx="3">
                  <c:v>8.1</c:v>
                </c:pt>
                <c:pt idx="4">
                  <c:v>11.1</c:v>
                </c:pt>
                <c:pt idx="5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 2019-20уч.г.</c:v>
                </c:pt>
              </c:strCache>
            </c:strRef>
          </c:tx>
          <c:spPr>
            <a:gradFill>
              <a:gsLst>
                <a:gs pos="0">
                  <a:srgbClr val="9c2f2c"/>
                </a:gs>
                <a:gs pos="100000">
                  <a:srgbClr val="cb3d39"/>
                </a:gs>
              </a:gsLst>
              <a:lin ang="16200000"/>
            </a:gradFill>
            <a:ln>
              <a:noFill/>
            </a:ln>
          </c:spPr>
          <c:marker>
            <c:symbol val="none"/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122</c:v>
                </c:pt>
                <c:pt idx="1">
                  <c:v>817</c:v>
                </c:pt>
                <c:pt idx="2">
                  <c:v>1357</c:v>
                </c:pt>
                <c:pt idx="3">
                  <c:v>6.7</c:v>
                </c:pt>
                <c:pt idx="4">
                  <c:v>11.1</c:v>
                </c:pt>
                <c:pt idx="5">
                  <c:v>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2020-21уч.г.</c:v>
                </c:pt>
              </c:strCache>
            </c:strRef>
          </c:tx>
          <c:spPr>
            <a:gradFill>
              <a:gsLst>
                <a:gs pos="0">
                  <a:srgbClr val="779637"/>
                </a:gs>
                <a:gs pos="100000">
                  <a:srgbClr val="9bc348"/>
                </a:gs>
              </a:gsLst>
              <a:lin ang="16200000"/>
            </a:gradFill>
            <a:ln w="25560">
              <a:noFill/>
            </a:ln>
          </c:spPr>
          <c:marker>
            <c:symbol val="none"/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>126</c:v>
                </c:pt>
                <c:pt idx="1">
                  <c:v>620</c:v>
                </c:pt>
                <c:pt idx="2">
                  <c:v>1428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axId val="57645480"/>
        <c:axId val="61291261"/>
        <c:axId val="15188203"/>
      </c:line3DChart>
      <c:catAx>
        <c:axId val="57645480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1291261"/>
        <c:crosses val="autoZero"/>
        <c:auto val="1"/>
        <c:lblAlgn val="ctr"/>
        <c:lblOffset val="100"/>
      </c:catAx>
      <c:valAx>
        <c:axId val="6129126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645480"/>
        <c:crosses val="autoZero"/>
        <c:crossBetween val="midCat"/>
      </c:valAx>
      <c:catAx>
        <c:axId val="151882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1291261"/>
        <c:crosses val="autoZero"/>
        <c:auto val="1"/>
        <c:lblAlgn val="ctr"/>
        <c:lblOffset val="100"/>
      </c:catAx>
    </c:plotArea>
    <c:legend>
      <c:layout>
        <c:manualLayout>
          <c:xMode val="edge"/>
          <c:yMode val="edge"/>
          <c:x val="0.8170625"/>
          <c:y val="0.0198888888888889"/>
          <c:w val="0.150259391211951"/>
          <c:h val="0.280697855317257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25560">
      <a:solidFill>
        <a:srgbClr val="4f81bd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0F99-B802-49E6-BB4C-C3CEFD5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Application>LibreOffice/6.2.8.2$Linux_X86_64 LibreOffice_project/20$Build-2</Application>
  <Pages>6</Pages>
  <Words>1014</Words>
  <Characters>7195</Characters>
  <CharactersWithSpaces>8480</CharactersWithSpaces>
  <Paragraphs>77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2005-03-22T19:51:00Z</dcterms:created>
  <dc:creator>user</dc:creator>
  <dc:description/>
  <dc:language>ru-RU</dc:language>
  <cp:lastModifiedBy/>
  <dcterms:modified xsi:type="dcterms:W3CDTF">2022-06-01T11:49:09Z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